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EB0EB" w14:textId="77777777" w:rsidR="00B654DF" w:rsidRDefault="00B654DF" w:rsidP="00937F17">
      <w:pPr>
        <w:rPr>
          <w:rFonts w:ascii="Times New Roman" w:hAnsi="Times New Roman" w:cs="Times New Roman"/>
          <w:sz w:val="27"/>
          <w:szCs w:val="27"/>
        </w:rPr>
      </w:pPr>
    </w:p>
    <w:p w14:paraId="1E0603AF" w14:textId="75FD5332" w:rsidR="00B654DF" w:rsidRDefault="00B654DF" w:rsidP="00937F17">
      <w:pPr>
        <w:rPr>
          <w:rFonts w:ascii="Times New Roman" w:hAnsi="Times New Roman" w:cs="Times New Roman"/>
          <w:sz w:val="27"/>
          <w:szCs w:val="27"/>
        </w:rPr>
      </w:pPr>
      <w:bookmarkStart w:id="0" w:name="_GoBack"/>
      <w:r>
        <w:rPr>
          <w:rFonts w:ascii="Times New Roman" w:hAnsi="Times New Roman" w:cs="Times New Roman"/>
          <w:noProof/>
          <w:sz w:val="27"/>
          <w:szCs w:val="27"/>
        </w:rPr>
        <w:drawing>
          <wp:inline distT="0" distB="0" distL="0" distR="0" wp14:anchorId="021FCB9F" wp14:editId="1EA9989E">
            <wp:extent cx="6448425" cy="8896350"/>
            <wp:effectExtent l="0" t="0" r="9525" b="0"/>
            <wp:docPr id="2" name="Рисунок 2" descr="C:\Users\Джаннет\OneDrive\Рабочий стол\документы\титульный\img-230419111503-00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жаннет\OneDrive\Рабочий стол\документы\титульный\img-230419111503-001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55031" cy="8905464"/>
                    </a:xfrm>
                    <a:prstGeom prst="rect">
                      <a:avLst/>
                    </a:prstGeom>
                    <a:noFill/>
                    <a:ln>
                      <a:noFill/>
                    </a:ln>
                  </pic:spPr>
                </pic:pic>
              </a:graphicData>
            </a:graphic>
          </wp:inline>
        </w:drawing>
      </w:r>
      <w:bookmarkEnd w:id="0"/>
    </w:p>
    <w:p w14:paraId="67C82205" w14:textId="77777777" w:rsidR="00B654DF" w:rsidRDefault="00B654DF" w:rsidP="00937F17">
      <w:pPr>
        <w:rPr>
          <w:rFonts w:ascii="Times New Roman" w:hAnsi="Times New Roman" w:cs="Times New Roman"/>
          <w:sz w:val="27"/>
          <w:szCs w:val="27"/>
        </w:rPr>
      </w:pPr>
    </w:p>
    <w:p w14:paraId="77B074E9" w14:textId="77777777" w:rsidR="00937F17" w:rsidRPr="00937F17" w:rsidRDefault="00937F17" w:rsidP="00937F17">
      <w:pPr>
        <w:rPr>
          <w:rFonts w:ascii="Times New Roman" w:hAnsi="Times New Roman" w:cs="Times New Roman"/>
          <w:sz w:val="24"/>
          <w:szCs w:val="24"/>
        </w:rPr>
      </w:pPr>
      <w:proofErr w:type="gramStart"/>
      <w:r w:rsidRPr="00937F17">
        <w:rPr>
          <w:rFonts w:ascii="Times New Roman" w:hAnsi="Times New Roman" w:cs="Times New Roman"/>
          <w:sz w:val="27"/>
          <w:szCs w:val="27"/>
        </w:rPr>
        <w:t>- персональные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roofErr w:type="gramEnd"/>
    </w:p>
    <w:p w14:paraId="4782106C"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Учреждения;</w:t>
      </w:r>
    </w:p>
    <w:p w14:paraId="63BCC9C9"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w:t>
      </w:r>
    </w:p>
    <w:p w14:paraId="5C9619F5"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распространение персональных данных -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w:t>
      </w:r>
    </w:p>
    <w:p w14:paraId="056EA21A"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использование персональных данных - действия (операции) с персональными данными, совершаемые должностным лицом Учреждения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14:paraId="004D679C"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w:t>
      </w:r>
    </w:p>
    <w:p w14:paraId="348C8CEF"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14:paraId="0F078EAF"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обезличивание персональных данных - действия, в результате которых невозможно определить принадлежность персональных данных конкретному работнику;</w:t>
      </w:r>
    </w:p>
    <w:p w14:paraId="2FF999FB"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14:paraId="1594F3D3"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информация - сведения (сообщения, данные) независимо от формы их представления;</w:t>
      </w:r>
    </w:p>
    <w:p w14:paraId="0E5A9DA1"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14:paraId="455DD0E7"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lastRenderedPageBreak/>
        <w:t>В состав персональных данных работников Учреждения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14:paraId="3B23F639"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2. Комплекс документов, сопровождающий процесс оформления трудовых отношений работника в Учреждении при его приеме, переводе и увольнении</w:t>
      </w:r>
    </w:p>
    <w:p w14:paraId="6DA9CD68"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Информация, представляемая работником при поступлении на работу в Учреждение,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14:paraId="263A13C8"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паспорт или иной документ, удостоверяющий личность, а также копии свидетельств о государственной регистрации актов гражданского состояния;</w:t>
      </w:r>
    </w:p>
    <w:p w14:paraId="1D15A305"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14:paraId="621BB59B"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страховое свидетельство государственного пенсионного страхования, страховой медицинский полис обязательного медицинского страхования граждан;</w:t>
      </w:r>
    </w:p>
    <w:p w14:paraId="5C12DD63"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документы воинского учета - для военнообязанных и лиц, подлежащих воинскому учету;</w:t>
      </w:r>
    </w:p>
    <w:p w14:paraId="5AC41640"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документы об образовании, профессиональной переподготовке, повышении квалификации, стажировки, присвоении ученой степени, ученого звания (если таковые имеются);</w:t>
      </w:r>
    </w:p>
    <w:p w14:paraId="2F9675AF"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свидетельство о постановке на учет в налоговом органе физического лица по месту жительства на территории Российской Федерации.</w:t>
      </w:r>
    </w:p>
    <w:p w14:paraId="3A2D8BA6"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При оформлении работника в Учреждении работником отдела кадров заполняются унифицированные формы Т-1 и Т-2 «Личная карточка работника», в которой отражаются следующие анкетные и биографические данные работника:</w:t>
      </w:r>
    </w:p>
    <w:p w14:paraId="00532751"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общие сведения (Ф.И.О. работника, дата рождения, место рождения, гражданство, образование, профессия, стаж работы, состояние в браке, паспортные данные);</w:t>
      </w:r>
    </w:p>
    <w:p w14:paraId="1117F0E5"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сведения о воинском учете;</w:t>
      </w:r>
    </w:p>
    <w:p w14:paraId="5E8149F2"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данные о приеме на работу;</w:t>
      </w:r>
    </w:p>
    <w:p w14:paraId="20FEBF6F"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В дальнейшем в личную карточку вносятся:</w:t>
      </w:r>
    </w:p>
    <w:p w14:paraId="6802CE4D"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сведения о переводах на другую работу;</w:t>
      </w:r>
    </w:p>
    <w:p w14:paraId="4EB15D07"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сведения об аттестации;</w:t>
      </w:r>
    </w:p>
    <w:p w14:paraId="054AB575"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сведения о повышении квалификации;</w:t>
      </w:r>
    </w:p>
    <w:p w14:paraId="1E1FE9CD"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сведения о профессиональной переподготовке;</w:t>
      </w:r>
    </w:p>
    <w:p w14:paraId="49591BF6"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сведения о наградах (поощрениях), почетных званиях;</w:t>
      </w:r>
    </w:p>
    <w:p w14:paraId="7A9298EF"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сведения об отпусках;</w:t>
      </w:r>
    </w:p>
    <w:p w14:paraId="65021098"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сведения о социальных гарантиях;</w:t>
      </w:r>
    </w:p>
    <w:p w14:paraId="1B437628"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сведения о месте жительства и контактных телефонах.</w:t>
      </w:r>
    </w:p>
    <w:p w14:paraId="06189555"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В отделе кадров Учреждения создаются и хранятся следующие группы документов, содержащие данные о работниках в единичном или сводном виде.</w:t>
      </w:r>
    </w:p>
    <w:p w14:paraId="78258537"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lastRenderedPageBreak/>
        <w:t>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Учреждения, руководителям структурных подразделений; копии отчетов, направляемых в государственные органы статистики, налоговые инспекции, вышестоящие органы управления и другие учреждения).</w:t>
      </w:r>
    </w:p>
    <w:p w14:paraId="527476AE"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Документация по организации работы структурных подразделений (положения о структурных подразделениях, должностные инструкции работников, приказы, распоряжения, указания руководства Учреждения); документы по планированию, учету, анализу и отчетности в части работы с персоналом Учреждения.</w:t>
      </w:r>
    </w:p>
    <w:p w14:paraId="58F9DA09"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w:t>
      </w:r>
    </w:p>
    <w:p w14:paraId="042E6989" w14:textId="77777777" w:rsidR="00937F17" w:rsidRPr="00937F17" w:rsidRDefault="00937F17" w:rsidP="00937F17">
      <w:pPr>
        <w:jc w:val="center"/>
        <w:rPr>
          <w:rFonts w:ascii="Times New Roman" w:hAnsi="Times New Roman" w:cs="Times New Roman"/>
          <w:sz w:val="24"/>
          <w:szCs w:val="24"/>
        </w:rPr>
      </w:pPr>
      <w:r w:rsidRPr="00937F17">
        <w:rPr>
          <w:rFonts w:ascii="Times New Roman" w:hAnsi="Times New Roman" w:cs="Times New Roman"/>
          <w:b/>
          <w:bCs/>
          <w:sz w:val="27"/>
          <w:szCs w:val="27"/>
        </w:rPr>
        <w:t>3. Сбор, обработка, защита персональных данных, порядок обработки и хранения персональных данных</w:t>
      </w:r>
    </w:p>
    <w:p w14:paraId="03934D38"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3.1 Порядок получения персональных данных</w:t>
      </w:r>
    </w:p>
    <w:p w14:paraId="45060368"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Все персональные данные работника Учреждения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Учреждения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14:paraId="12BD911D"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Работодатель не имеет права получать и обрабатывать персональные данные работника Учреждения 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14:paraId="0D74C155"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Предоставление соискателем должности персональных данных до заключения трудового договора (резюме и т.п. информации) считается, в соответствии с Гражданским Кодексом Российской Федерации (ст. 158), молчаливым согласием (конклюдентным действием), подразумевает согласие субъекта на обработку его персональных данных и не требует наличия дополнительного письменного согласия.</w:t>
      </w:r>
    </w:p>
    <w:p w14:paraId="53298B68"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3.2 Порядок обработки, передачи и хранения персональных данных</w:t>
      </w:r>
    </w:p>
    <w:p w14:paraId="7BD5F117"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lastRenderedPageBreak/>
        <w:t>Обработка указанных персональных данных работников работодателем возможна только с письменного их согласия либо без их согласия в следующих случаях:</w:t>
      </w:r>
    </w:p>
    <w:p w14:paraId="598EF72A"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1) субъект персональных данных дал согласие в письменной форме на обработку своих персональных данных;</w:t>
      </w:r>
    </w:p>
    <w:p w14:paraId="5CACF12E"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2) персональные данные являются общедоступными;</w:t>
      </w:r>
    </w:p>
    <w:p w14:paraId="71AD5344"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3) персональные данные относятся к состоянию здоровья субъекта персональных данных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субъекта персональных данных невозможно;</w:t>
      </w:r>
    </w:p>
    <w:p w14:paraId="21604493"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14:paraId="05339266"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14:paraId="2684021D"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6) обработка персональных данных необходима в связи с осуществлением правосудия;</w:t>
      </w:r>
    </w:p>
    <w:p w14:paraId="3151C8B6"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7) обработка персональных данных осуществляется в соответствии с законодательством Российской Федерации о безопасности, об оперативно-розыскной деятельности, а также в соответствии с уголовно-исполнительным законодательством Российской Федерации. Работодатель вправе обрабатывать персональные данные работников только с их письменного согласия.</w:t>
      </w:r>
    </w:p>
    <w:p w14:paraId="298DAE1C"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Письменное согласие работника на обработку своих персональных данных должно включать в себя:</w:t>
      </w:r>
    </w:p>
    <w:p w14:paraId="3B5D204B"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7EACB8F4"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наименование (фамилию, имя, отчество) и адрес оператора, получающего согласие субъекта персональных данных;</w:t>
      </w:r>
    </w:p>
    <w:p w14:paraId="4340756E"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цель обработки персональных данных;</w:t>
      </w:r>
    </w:p>
    <w:p w14:paraId="1AE5E27E"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перечень персональных данных, на обработку которых дается согласие субъекта персональных данных;</w:t>
      </w:r>
    </w:p>
    <w:p w14:paraId="002EB3F9"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1ABB13C7"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срок, в течение которого действует согласие, а также порядок его отзыва.</w:t>
      </w:r>
    </w:p>
    <w:p w14:paraId="15F2753D"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Согласие работника не требуется в следующих случаях:</w:t>
      </w:r>
    </w:p>
    <w:p w14:paraId="11887304"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lastRenderedPageBreak/>
        <w:t>-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14:paraId="3AB1095D"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обработка персональных данных осуществляется в целях исполнения трудового договора, одной из сторон которого является субъект персональных данных;</w:t>
      </w:r>
    </w:p>
    <w:p w14:paraId="34C1155E"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14:paraId="6E5D9628"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14:paraId="175662A9"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Таким образом, в соответствии со ст. 86, гл. 14 ТК РФ в целях обеспечения прав и свобод человека и гражданина Работодатель и его представители при обработке персональных данных работника должны соблюдать следующие общие требования:</w:t>
      </w:r>
    </w:p>
    <w:p w14:paraId="6813B70C"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14:paraId="57623667"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p>
    <w:p w14:paraId="6DCDEE99"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14:paraId="104753FA"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защита персональных данных работника от неправомерного их использования или утраты обеспечивается Работодателем за счет его средств в порядке, установленном федеральным законом;</w:t>
      </w:r>
    </w:p>
    <w:p w14:paraId="1B6D62FB"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работники и их представители должны быть ознакомлены под расписку с документами Учреждения, устанавливающими порядок обработки персональных данных работников, а также об их правах и обязанностях в этой области;</w:t>
      </w:r>
    </w:p>
    <w:p w14:paraId="4E7B03C2"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во всех случаях отказ работника от своих прав на сохранение и защиту тайны недействителен.</w:t>
      </w:r>
    </w:p>
    <w:p w14:paraId="604C1BBE"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4. Передача и хранение персональных данных</w:t>
      </w:r>
    </w:p>
    <w:p w14:paraId="62D121F0"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При передаче персональных данных работника Работодатель должен соблюдать следующие требования:</w:t>
      </w:r>
    </w:p>
    <w:p w14:paraId="0C0FCCD5"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14:paraId="5531B648"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lastRenderedPageBreak/>
        <w:t>- не сообщать персональные данные работника в коммерческих целях без его письменного согласия.</w:t>
      </w:r>
    </w:p>
    <w:p w14:paraId="6F2ADD1E"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14:paraId="5A71B67E"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осуществлять передачу персональных данных работников в пределах Учреждения в соответствии с настоящим Положением;</w:t>
      </w:r>
    </w:p>
    <w:p w14:paraId="5772DD82"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14:paraId="6CA8A6FB"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14:paraId="1D1AD476"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14:paraId="29556E49"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Хранение и использование персональных данных:</w:t>
      </w:r>
    </w:p>
    <w:p w14:paraId="4D74C1EE"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Персональные данные работников обрабатываются и хранятся в отделе кадров, персональные данные учащихся обрабатываются и хранятся в канцелярии и в предназначенных для этого элементах информационных систем.</w:t>
      </w:r>
    </w:p>
    <w:p w14:paraId="1340B862"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xml:space="preserve">§ Персональные данные работников и учащихся могут быть получены, проходить дальнейшую обработку и передаваться на </w:t>
      </w:r>
      <w:proofErr w:type="gramStart"/>
      <w:r w:rsidRPr="00937F17">
        <w:rPr>
          <w:rFonts w:ascii="Times New Roman" w:hAnsi="Times New Roman" w:cs="Times New Roman"/>
          <w:sz w:val="27"/>
          <w:szCs w:val="27"/>
        </w:rPr>
        <w:t>хранение</w:t>
      </w:r>
      <w:proofErr w:type="gramEnd"/>
      <w:r w:rsidRPr="00937F17">
        <w:rPr>
          <w:rFonts w:ascii="Times New Roman" w:hAnsi="Times New Roman" w:cs="Times New Roman"/>
          <w:sz w:val="27"/>
          <w:szCs w:val="27"/>
        </w:rPr>
        <w:t xml:space="preserve"> как на бумажных носителях, так и в электронном виде – в локальной компьютерной сети и в специальных компьютерных программах: «1С: Зарплата и кадры», «Школьный офис» и т.д</w:t>
      </w:r>
      <w:proofErr w:type="gramStart"/>
      <w:r w:rsidRPr="00937F17">
        <w:rPr>
          <w:rFonts w:ascii="Times New Roman" w:hAnsi="Times New Roman" w:cs="Times New Roman"/>
          <w:sz w:val="27"/>
          <w:szCs w:val="27"/>
        </w:rPr>
        <w:t>..</w:t>
      </w:r>
      <w:proofErr w:type="gramEnd"/>
    </w:p>
    <w:p w14:paraId="34EE30D0"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14:paraId="30D371A8"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наименование (фамилия, имя, отчество) и адрес оператора или его представителя;</w:t>
      </w:r>
    </w:p>
    <w:p w14:paraId="3ABC088F"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цель обработки персональных данных и ее правовое основание;</w:t>
      </w:r>
    </w:p>
    <w:p w14:paraId="5AA11736"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предполагаемые пользователи персональных данных;</w:t>
      </w:r>
    </w:p>
    <w:p w14:paraId="71045479"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установленные настоящим Федеральным законом права субъекта персональных данных.</w:t>
      </w:r>
    </w:p>
    <w:p w14:paraId="4E298856"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5. Доступ к персональным данным работников</w:t>
      </w:r>
    </w:p>
    <w:p w14:paraId="2A60381D"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Право доступа к персональным данным работников имеют:</w:t>
      </w:r>
    </w:p>
    <w:p w14:paraId="48558774"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директор Учреждения;</w:t>
      </w:r>
    </w:p>
    <w:p w14:paraId="143A3B98"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lastRenderedPageBreak/>
        <w:t>- сотрудники отдела кадров;</w:t>
      </w:r>
    </w:p>
    <w:p w14:paraId="190CF084"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сотрудники бухгалтерии.</w:t>
      </w:r>
    </w:p>
    <w:p w14:paraId="2073B792"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Работник Учреждения имеет право:</w:t>
      </w:r>
    </w:p>
    <w:p w14:paraId="125617AF"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14:paraId="0BD75E88"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требовать от Работодателя уточнения, исключения или исправления неполных, неверных, устаревших, недостоверных, незаконно полученных или не являющих необходимыми для Работодателя персональных данных;</w:t>
      </w:r>
    </w:p>
    <w:p w14:paraId="60524598"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получать от Работодателя:</w:t>
      </w:r>
    </w:p>
    <w:p w14:paraId="4F44CF47"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сведения о лицах, которые имеют доступ к персональным данным или которым может быть предоставлен такой доступ;</w:t>
      </w:r>
    </w:p>
    <w:p w14:paraId="1DD0C8B0"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перечень обрабатываемых персональных данных и источник их получения;</w:t>
      </w:r>
    </w:p>
    <w:p w14:paraId="6DAFBF02"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сроки обработки персональных данных, в том числе сроки их хранения;</w:t>
      </w:r>
    </w:p>
    <w:p w14:paraId="0A3F9CFA"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сведения о том, какие юридические последствия для субъекта персональных данных может повлечь за собой обработка его персональных данных.</w:t>
      </w:r>
    </w:p>
    <w:p w14:paraId="4575D001"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14:paraId="53B97E25"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14:paraId="0E292BBC"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копировать и делать выписки персональных данных работника разрешается исключительно в служебных целях с письменного разрешения начальника отдела кадров;</w:t>
      </w:r>
    </w:p>
    <w:p w14:paraId="5C7F7A0D"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 передача информации третьей стороне возможна только при письменном согласии работников.</w:t>
      </w:r>
    </w:p>
    <w:p w14:paraId="217A2BC0"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6. Ответственность за нарушение норм, регулирующих обработку и защиту персональных данных</w:t>
      </w:r>
    </w:p>
    <w:p w14:paraId="66ED3539" w14:textId="77777777" w:rsidR="00937F17" w:rsidRPr="00937F17" w:rsidRDefault="00937F17" w:rsidP="00937F17">
      <w:pPr>
        <w:rPr>
          <w:rFonts w:ascii="Times New Roman" w:hAnsi="Times New Roman" w:cs="Times New Roman"/>
          <w:sz w:val="24"/>
          <w:szCs w:val="24"/>
        </w:rPr>
      </w:pPr>
      <w:r w:rsidRPr="00937F17">
        <w:rPr>
          <w:rFonts w:ascii="Times New Roman" w:hAnsi="Times New Roman" w:cs="Times New Roman"/>
          <w:sz w:val="27"/>
          <w:szCs w:val="27"/>
        </w:rPr>
        <w:t>Работники Учреждения,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14:paraId="351FA8B2" w14:textId="77777777" w:rsidR="00937F17" w:rsidRPr="00937F17" w:rsidRDefault="00937F17" w:rsidP="00937F17">
      <w:pPr>
        <w:spacing w:before="150" w:after="150"/>
        <w:rPr>
          <w:rFonts w:ascii="Times New Roman" w:hAnsi="Times New Roman" w:cs="Times New Roman"/>
          <w:sz w:val="24"/>
          <w:szCs w:val="24"/>
        </w:rPr>
      </w:pPr>
      <w:r w:rsidRPr="00937F17">
        <w:rPr>
          <w:rFonts w:ascii="Times New Roman" w:hAnsi="Times New Roman" w:cs="Times New Roman"/>
          <w:sz w:val="24"/>
          <w:szCs w:val="24"/>
        </w:rPr>
        <w:t> </w:t>
      </w:r>
    </w:p>
    <w:p w14:paraId="1A97781A" w14:textId="77777777" w:rsidR="00937F17" w:rsidRPr="00937F17" w:rsidRDefault="00937F17" w:rsidP="00937F17">
      <w:pPr>
        <w:spacing w:before="225" w:after="225"/>
        <w:rPr>
          <w:rFonts w:ascii="Times New Roman" w:eastAsia="Times New Roman" w:hAnsi="Times New Roman" w:cs="Times New Roman"/>
          <w:sz w:val="24"/>
          <w:szCs w:val="24"/>
        </w:rPr>
      </w:pPr>
      <w:r w:rsidRPr="00937F17">
        <w:rPr>
          <w:rFonts w:ascii="Times New Roman" w:eastAsia="Times New Roman" w:hAnsi="Times New Roman" w:cs="Times New Roman"/>
          <w:noProof/>
          <w:sz w:val="24"/>
          <w:szCs w:val="24"/>
        </w:rPr>
        <mc:AlternateContent>
          <mc:Choice Requires="wps">
            <w:drawing>
              <wp:inline distT="0" distB="0" distL="0" distR="0" wp14:anchorId="0B89B4FC" wp14:editId="3CF0D614">
                <wp:extent cx="5940425" cy="1270"/>
                <wp:effectExtent l="0" t="31750" r="0" b="36830"/>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rect w14:anchorId="4B10F461" id="Прямоугольник 3" o:spid="_x0000_s1026" style="width:467.7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" filled="f">
                <w10:anchorlock/>
              </v:rect>
            </w:pict>
          </mc:Fallback>
        </mc:AlternateContent>
      </w:r>
    </w:p>
    <w:p w14:paraId="3B2A01AF" w14:textId="72DD2100" w:rsidR="00937F17" w:rsidRPr="00937F17" w:rsidRDefault="00937F17" w:rsidP="002F2F7E">
      <w:pPr>
        <w:rPr>
          <w:rFonts w:ascii="Arial" w:eastAsia="Times New Roman" w:hAnsi="Arial" w:cs="Arial"/>
          <w:color w:val="2E2E2E"/>
          <w:sz w:val="27"/>
          <w:szCs w:val="27"/>
        </w:rPr>
      </w:pPr>
      <w:r w:rsidRPr="00937F17">
        <w:rPr>
          <w:rFonts w:ascii="Times New Roman" w:hAnsi="Times New Roman" w:cs="Times New Roman"/>
          <w:sz w:val="24"/>
          <w:szCs w:val="24"/>
        </w:rPr>
        <w:br/>
      </w:r>
    </w:p>
    <w:p w14:paraId="558F7967" w14:textId="77777777" w:rsidR="00937F17" w:rsidRPr="00937F17" w:rsidRDefault="00937F17" w:rsidP="00937F17">
      <w:pPr>
        <w:spacing w:before="225" w:after="225"/>
        <w:rPr>
          <w:rFonts w:ascii="Times New Roman" w:eastAsia="Times New Roman" w:hAnsi="Times New Roman" w:cs="Times New Roman"/>
          <w:sz w:val="24"/>
          <w:szCs w:val="24"/>
        </w:rPr>
      </w:pPr>
      <w:r w:rsidRPr="00937F17">
        <w:rPr>
          <w:rFonts w:ascii="Times New Roman" w:eastAsia="Times New Roman" w:hAnsi="Times New Roman" w:cs="Times New Roman"/>
          <w:noProof/>
          <w:sz w:val="24"/>
          <w:szCs w:val="24"/>
        </w:rPr>
        <mc:AlternateContent>
          <mc:Choice Requires="wps">
            <w:drawing>
              <wp:inline distT="0" distB="0" distL="0" distR="0" wp14:anchorId="26438569" wp14:editId="0761E21E">
                <wp:extent cx="5940425" cy="1270"/>
                <wp:effectExtent l="0" t="31750" r="0" b="36830"/>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rect w14:anchorId="405BF229" id="Прямоугольник 1" o:spid="_x0000_s1026" style="width:467.7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" filled="f">
                <w10:anchorlock/>
              </v:rect>
            </w:pict>
          </mc:Fallback>
        </mc:AlternateContent>
      </w:r>
    </w:p>
    <w:p w14:paraId="7C3154A8" w14:textId="77777777" w:rsidR="00937F17" w:rsidRPr="00937F17" w:rsidRDefault="00937F17" w:rsidP="00937F17">
      <w:pPr>
        <w:spacing w:before="225" w:after="225"/>
        <w:rPr>
          <w:rFonts w:ascii="Times New Roman" w:eastAsia="Times New Roman" w:hAnsi="Times New Roman" w:cs="Times New Roman"/>
          <w:sz w:val="24"/>
          <w:szCs w:val="24"/>
        </w:rPr>
      </w:pPr>
    </w:p>
    <w:p w14:paraId="61532795" w14:textId="77777777" w:rsidR="00937F17" w:rsidRDefault="00937F17"/>
    <w:sectPr w:rsidR="00937F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24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F17"/>
    <w:rsid w:val="0008049D"/>
    <w:rsid w:val="002F2F7E"/>
    <w:rsid w:val="00937F17"/>
    <w:rsid w:val="00B65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3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37F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37F1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7F17"/>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937F17"/>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semiHidden/>
    <w:unhideWhenUsed/>
    <w:rsid w:val="00937F17"/>
    <w:pPr>
      <w:spacing w:before="100" w:beforeAutospacing="1" w:after="100" w:afterAutospacing="1"/>
    </w:pPr>
    <w:rPr>
      <w:rFonts w:ascii="Times New Roman" w:hAnsi="Times New Roman" w:cs="Times New Roman"/>
      <w:sz w:val="24"/>
      <w:szCs w:val="24"/>
    </w:rPr>
  </w:style>
  <w:style w:type="character" w:styleId="a4">
    <w:name w:val="Hyperlink"/>
    <w:basedOn w:val="a0"/>
    <w:uiPriority w:val="99"/>
    <w:semiHidden/>
    <w:unhideWhenUsed/>
    <w:rsid w:val="00937F17"/>
    <w:rPr>
      <w:color w:val="0000FF"/>
      <w:u w:val="single"/>
    </w:rPr>
  </w:style>
  <w:style w:type="character" w:customStyle="1" w:styleId="apple-converted-space">
    <w:name w:val="apple-converted-space"/>
    <w:basedOn w:val="a0"/>
    <w:rsid w:val="00937F17"/>
  </w:style>
  <w:style w:type="character" w:customStyle="1" w:styleId="patharrow">
    <w:name w:val="path_arrow"/>
    <w:basedOn w:val="a0"/>
    <w:rsid w:val="00937F17"/>
  </w:style>
  <w:style w:type="paragraph" w:customStyle="1" w:styleId="a5">
    <w:name w:val="a"/>
    <w:basedOn w:val="a"/>
    <w:rsid w:val="00937F17"/>
    <w:pPr>
      <w:spacing w:before="100" w:beforeAutospacing="1" w:after="100" w:afterAutospacing="1"/>
    </w:pPr>
    <w:rPr>
      <w:rFonts w:ascii="Times New Roman" w:hAnsi="Times New Roman" w:cs="Times New Roman"/>
      <w:sz w:val="24"/>
      <w:szCs w:val="24"/>
    </w:rPr>
  </w:style>
  <w:style w:type="character" w:styleId="a6">
    <w:name w:val="Strong"/>
    <w:basedOn w:val="a0"/>
    <w:uiPriority w:val="22"/>
    <w:qFormat/>
    <w:rsid w:val="00937F17"/>
    <w:rPr>
      <w:b/>
      <w:bCs/>
    </w:rPr>
  </w:style>
  <w:style w:type="paragraph" w:styleId="a7">
    <w:name w:val="Balloon Text"/>
    <w:basedOn w:val="a"/>
    <w:link w:val="a8"/>
    <w:uiPriority w:val="99"/>
    <w:semiHidden/>
    <w:unhideWhenUsed/>
    <w:rsid w:val="002F2F7E"/>
    <w:rPr>
      <w:rFonts w:ascii="Segoe UI" w:hAnsi="Segoe UI" w:cs="Segoe UI"/>
      <w:sz w:val="18"/>
      <w:szCs w:val="18"/>
    </w:rPr>
  </w:style>
  <w:style w:type="character" w:customStyle="1" w:styleId="a8">
    <w:name w:val="Текст выноски Знак"/>
    <w:basedOn w:val="a0"/>
    <w:link w:val="a7"/>
    <w:uiPriority w:val="99"/>
    <w:semiHidden/>
    <w:rsid w:val="002F2F7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37F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37F1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7F17"/>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937F17"/>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semiHidden/>
    <w:unhideWhenUsed/>
    <w:rsid w:val="00937F17"/>
    <w:pPr>
      <w:spacing w:before="100" w:beforeAutospacing="1" w:after="100" w:afterAutospacing="1"/>
    </w:pPr>
    <w:rPr>
      <w:rFonts w:ascii="Times New Roman" w:hAnsi="Times New Roman" w:cs="Times New Roman"/>
      <w:sz w:val="24"/>
      <w:szCs w:val="24"/>
    </w:rPr>
  </w:style>
  <w:style w:type="character" w:styleId="a4">
    <w:name w:val="Hyperlink"/>
    <w:basedOn w:val="a0"/>
    <w:uiPriority w:val="99"/>
    <w:semiHidden/>
    <w:unhideWhenUsed/>
    <w:rsid w:val="00937F17"/>
    <w:rPr>
      <w:color w:val="0000FF"/>
      <w:u w:val="single"/>
    </w:rPr>
  </w:style>
  <w:style w:type="character" w:customStyle="1" w:styleId="apple-converted-space">
    <w:name w:val="apple-converted-space"/>
    <w:basedOn w:val="a0"/>
    <w:rsid w:val="00937F17"/>
  </w:style>
  <w:style w:type="character" w:customStyle="1" w:styleId="patharrow">
    <w:name w:val="path_arrow"/>
    <w:basedOn w:val="a0"/>
    <w:rsid w:val="00937F17"/>
  </w:style>
  <w:style w:type="paragraph" w:customStyle="1" w:styleId="a5">
    <w:name w:val="a"/>
    <w:basedOn w:val="a"/>
    <w:rsid w:val="00937F17"/>
    <w:pPr>
      <w:spacing w:before="100" w:beforeAutospacing="1" w:after="100" w:afterAutospacing="1"/>
    </w:pPr>
    <w:rPr>
      <w:rFonts w:ascii="Times New Roman" w:hAnsi="Times New Roman" w:cs="Times New Roman"/>
      <w:sz w:val="24"/>
      <w:szCs w:val="24"/>
    </w:rPr>
  </w:style>
  <w:style w:type="character" w:styleId="a6">
    <w:name w:val="Strong"/>
    <w:basedOn w:val="a0"/>
    <w:uiPriority w:val="22"/>
    <w:qFormat/>
    <w:rsid w:val="00937F17"/>
    <w:rPr>
      <w:b/>
      <w:bCs/>
    </w:rPr>
  </w:style>
  <w:style w:type="paragraph" w:styleId="a7">
    <w:name w:val="Balloon Text"/>
    <w:basedOn w:val="a"/>
    <w:link w:val="a8"/>
    <w:uiPriority w:val="99"/>
    <w:semiHidden/>
    <w:unhideWhenUsed/>
    <w:rsid w:val="002F2F7E"/>
    <w:rPr>
      <w:rFonts w:ascii="Segoe UI" w:hAnsi="Segoe UI" w:cs="Segoe UI"/>
      <w:sz w:val="18"/>
      <w:szCs w:val="18"/>
    </w:rPr>
  </w:style>
  <w:style w:type="character" w:customStyle="1" w:styleId="a8">
    <w:name w:val="Текст выноски Знак"/>
    <w:basedOn w:val="a0"/>
    <w:link w:val="a7"/>
    <w:uiPriority w:val="99"/>
    <w:semiHidden/>
    <w:rsid w:val="002F2F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2013 – 2022">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2662</Words>
  <Characters>15180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жулетка жулетка</dc:creator>
  <cp:lastModifiedBy>Джаннет</cp:lastModifiedBy>
  <cp:revision>2</cp:revision>
  <cp:lastPrinted>2023-04-19T06:42:00Z</cp:lastPrinted>
  <dcterms:created xsi:type="dcterms:W3CDTF">2023-04-24T06:23:00Z</dcterms:created>
  <dcterms:modified xsi:type="dcterms:W3CDTF">2023-04-24T06:23:00Z</dcterms:modified>
</cp:coreProperties>
</file>